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5800" cy="7715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00pt;height:60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r/>
      <w:r/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>
        <w:tblPrEx/>
        <w:trPr>
          <w:cantSplit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ПРАВИТЕЛЬСТВА ЕВРЕЙСКОЙ АВТОНОМНОЙ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8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РАСПОРЯЖЕНИЕ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27" w:beforeAutospacing="0" w:after="0" w:afterAutospacing="0" w:line="240" w:lineRule="auto"/>
              <w:tabs>
                <w:tab w:val="left" w:pos="850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Биробиджан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№_________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hd w:val="nil" w:color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 внесении изменения в региональную программу Еврейской автономной области «Развитие системы оказания паллиативной медицинской </w:t>
      </w:r>
      <w:r>
        <w:rPr>
          <w:sz w:val="28"/>
          <w:szCs w:val="28"/>
        </w:rPr>
        <w:t xml:space="preserve">помощи гражданам Российской Федерации на территории Еврейской автономной области» на 2020-2024 годы, утвержденную  распоряжением правительства Еврейской автономной области от 20.02.2020 № 48-рп</w:t>
      </w:r>
      <w:r>
        <w:rPr>
          <w:sz w:val="28"/>
          <w:szCs w:val="28"/>
          <w14:ligatures w14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 Внести в </w:t>
      </w:r>
      <w:r>
        <w:rPr>
          <w:sz w:val="28"/>
          <w:szCs w:val="28"/>
        </w:rPr>
        <w:t xml:space="preserve">региональную программу Еврейской автономной области «Развитие системы оказания паллиативной медицинской </w:t>
      </w:r>
      <w:r>
        <w:rPr>
          <w:sz w:val="28"/>
          <w:szCs w:val="28"/>
        </w:rPr>
        <w:t xml:space="preserve">помощи гражданам Российской Федерации на территории Еврейской автономной области» на 2020-2024 годы, утвержденную распоряжением правительства Еврейской автономной области от 20.02.2020 № 48-рп «Об утверждении региональной программы Еврейской автономной области</w:t>
      </w:r>
      <w:r>
        <w:rPr>
          <w:sz w:val="28"/>
          <w:szCs w:val="28"/>
          <w:highlight w:val="white"/>
        </w:rPr>
        <w:t xml:space="preserve"> «Развитие системы оказания паллиативной медицинской помощи гражданам Российской Федерации на территории Еврейской автономной области» на 2020 - 2024 годы</w:t>
      </w:r>
      <w:r>
        <w:rPr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следующее изменение: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подраздел «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1.2 </w:t>
      </w:r>
      <w:r/>
      <w:r>
        <w:rPr>
          <w:sz w:val="28"/>
          <w:szCs w:val="28"/>
        </w:rPr>
        <w:t xml:space="preserve">Основные целевые показатели эффективности реализации Программы</w:t>
      </w:r>
      <w:r>
        <w:rPr>
          <w:sz w:val="28"/>
          <w:szCs w:val="28"/>
        </w:rPr>
        <w:t xml:space="preserve">»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 раздела 1 «Вводная часть»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редакции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согласно приложению к настоящему постановлению.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 Настоящее распоряжение вступает в силу со дня его подписания.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Губернатор области                                                                      Р.Э. Гольдштейн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sz w:val="28"/>
          <w:szCs w:val="28"/>
        </w:rPr>
        <w:tab/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sectPr>
          <w:headerReference w:type="default" r:id="rId9"/>
          <w:headerReference w:type="even" r:id="rId10"/>
          <w:footerReference w:type="even" r:id="rId12"/>
          <w:footnotePr/>
          <w:endnotePr/>
          <w:type w:val="continuous"/>
          <w:pgSz w:w="11906" w:h="16838" w:orient="portrait"/>
          <w:pgMar w:top="1134" w:right="850" w:bottom="567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hd w:val="nil" w:color="00000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Приложение к распоряжению</w:t>
      </w:r>
      <w:r/>
      <w:r>
        <w:rPr>
          <w:sz w:val="28"/>
          <w:szCs w:val="28"/>
          <w14:ligatures w14:val="none"/>
        </w:rPr>
      </w:r>
    </w:p>
    <w:p>
      <w:pPr>
        <w:jc w:val="center"/>
        <w:shd w:val="nil" w:color="00000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правительства </w:t>
      </w:r>
      <w:r>
        <w:rPr>
          <w:sz w:val="28"/>
          <w:szCs w:val="28"/>
        </w:rPr>
        <w:t xml:space="preserve">Еврейской</w:t>
        <w:br/>
        <w:t xml:space="preserve">                                                                                                                                                 автономной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5103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от «___»______202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hd w:val="nil" w:color="auto"/>
        <w:rPr>
          <w:highlight w:val="none"/>
          <w14:ligatures w14:val="none"/>
        </w:rPr>
      </w:pPr>
      <w:r>
        <w:t xml:space="preserve">                                                                                                     </w:t>
      </w:r>
      <w:r>
        <w:rPr>
          <w:highlight w:val="none"/>
          <w14:ligatures w14:val="none"/>
        </w:rPr>
      </w:r>
    </w:p>
    <w:p>
      <w:pPr>
        <w:ind w:firstLine="708"/>
        <w:jc w:val="center"/>
        <w:shd w:val="nil" w:color="auto"/>
        <w:rPr>
          <w:b/>
          <w:i w:val="0"/>
          <w:strike w:val="0"/>
          <w:sz w:val="16"/>
          <w14:ligatures w14:val="none"/>
        </w:rPr>
        <w:outlineLvl w:val="2"/>
      </w:pPr>
      <w:r>
        <w:rPr>
          <w:sz w:val="28"/>
          <w:szCs w:val="28"/>
        </w:rPr>
        <w:t xml:space="preserve">«1.2. Основные целевые показатели эффективности реализации Программы</w:t>
      </w:r>
      <w:r>
        <w:rPr>
          <w:sz w:val="28"/>
          <w:szCs w:val="28"/>
        </w:rPr>
        <w:t xml:space="preserve">»</w:t>
      </w:r>
      <w:r>
        <w:rPr>
          <w:b/>
          <w:i w:val="0"/>
          <w:strike w:val="0"/>
          <w:sz w:val="16"/>
          <w14:ligatures w14:val="none"/>
        </w:rPr>
      </w:r>
    </w:p>
    <w:p>
      <w:pPr>
        <w:ind w:firstLine="708"/>
        <w:jc w:val="both"/>
        <w:shd w:val="nil" w:color="auto"/>
        <w:rPr>
          <w:b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Основные целевые показатели эффективности реализации </w:t>
      </w:r>
      <w:r>
        <w:rPr>
          <w:sz w:val="28"/>
          <w:szCs w:val="28"/>
        </w:rPr>
        <w:t xml:space="preserve">Программы приведены в таблице № 1.</w:t>
      </w:r>
      <w:r>
        <w:rPr>
          <w:sz w:val="28"/>
          <w:szCs w:val="28"/>
          <w14:ligatures w14:val="none"/>
        </w:rPr>
      </w:r>
      <w:r>
        <w:rPr>
          <w:b w:val="0"/>
          <w:i w:val="0"/>
          <w:strike w:val="0"/>
          <w:sz w:val="28"/>
          <w:szCs w:val="28"/>
          <w14:ligatures w14:val="none"/>
        </w:rPr>
      </w:r>
    </w:p>
    <w:p>
      <w:pPr>
        <w:jc w:val="right"/>
        <w:shd w:val="nil" w:color="auto"/>
        <w:rPr>
          <w:sz w:val="28"/>
          <w:szCs w:val="28"/>
          <w:highlight w:val="none"/>
          <w14:ligatures w14:val="none"/>
        </w:rPr>
        <w:outlineLvl w:val="3"/>
      </w:pPr>
      <w:r>
        <w:rPr>
          <w:sz w:val="28"/>
          <w:szCs w:val="28"/>
        </w:rPr>
        <w:t xml:space="preserve">Таблица № 1</w:t>
      </w:r>
      <w:r>
        <w:rPr>
          <w:sz w:val="28"/>
          <w:szCs w:val="28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"/>
        <w:gridCol w:w="4506"/>
        <w:gridCol w:w="1559"/>
        <w:gridCol w:w="1843"/>
        <w:gridCol w:w="992"/>
        <w:gridCol w:w="992"/>
        <w:gridCol w:w="850"/>
        <w:gridCol w:w="850"/>
        <w:gridCol w:w="992"/>
        <w:gridCol w:w="850"/>
        <w:gridCol w:w="992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Базовое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(на 31.12.2018)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Период,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Доля пациентов, получивших паллиативную медицинскую помощь, в общем количестве пациентов, нуждающихся в паллиативной медицинской помощи (%)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83, 1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Обеспеченность паллиативными койками на 10 000 населения, из них: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число коек на 10 000 детей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число коек на 10 000 взрослых, в том числе: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число коек сестринского ухода на 10 000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взрослых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-52365</wp:posOffset>
                      </wp:positionH>
                      <wp:positionV relativeFrom="paragraph">
                        <wp:posOffset>481453</wp:posOffset>
                      </wp:positionV>
                      <wp:extent cx="371475" cy="0"/>
                      <wp:effectExtent l="3175" t="3175" r="3175" b="3175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1" flipV="0">
                                <a:off x="0" y="0"/>
                                <a:ext cx="371474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3072;mso-wrap-distance-left:9.07pt;mso-wrap-distance-top:0.00pt;mso-wrap-distance-right:9.07pt;mso-wrap-distance-bottom:0.00pt;flip:x;visibility:visible;" from="-4.1pt,37.9pt" to="25.1pt,37.9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Обеспеченность выездными патронажными бригадами паллиативной медицинской помощи: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основного целевого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Базовое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(на 31.12.2018)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Период,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 взрослым, на 100 000 взрослых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Единиц, на 100 000 взрослых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 детям, на 50 000 детей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 на 50 000 детей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заявленной потребности в лекарственных препаратах, содержащих наркотические средства и психотропные вещества, рассчитанной в соответствии с методическими рекомендациями (60- дневный курс обезболивания):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 инвазивных лекарственных формах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 неинвазивных лекарственных формах короткого действия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 неинвазивных лекарственных формах пролонгированного действия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Полнота выборки лекарственных препаратов, содержащих наркотические средства и психотропные вещества, в рамках заявленных потребностей в соответствии с планом распределения наркотических средств и психотропных веществ: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 инвазивных лекарственных формах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 неинвазивных лекарственных формах короткого действия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 неинвазивных лекарственных формах пролонгированного действия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основного целевого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Базовое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(на 31.12.2018)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Период,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Число врачей (физических лиц на занятых должностях) в медицинских организациях и структурных подразделениях, оказывающих паллиативную специализированную медицинскую помощь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Число врачей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  <w:t xml:space="preserve">Доля пациентов, переведенных из структурных подразделений медицинских организаций, оказывающих паллиативную медицинскую помощь в стационарных условиях, в организации социального обслуживания от общего числа пролеченных пациентов по паллиативной медицинской</w:t>
            </w:r>
            <w:r>
              <w:rPr>
                <w:sz w:val="22"/>
                <w:szCs w:val="22"/>
              </w:rPr>
              <w:t xml:space="preserve"> помощи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Число некоммерческих организаций, осуществляющих свою деятельность в сфере охраны здоровья, которые получили меры государственной поддержки, в том числе в форме субсидии из бюджетов субъектов Российской Федерации, на оказание услуг, предусматривающих медик</w:t>
            </w:r>
            <w:r>
              <w:rPr>
                <w:sz w:val="22"/>
                <w:szCs w:val="22"/>
              </w:rPr>
              <w:t xml:space="preserve">о-социальное сопровождение лиц, нуждающихся в паллиативной медицинской помощи, включая организацию оказания паллиативной медицинской помощи и содействие в ее получении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Число социально ориентированных некоммерческих организаций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</w:tbl>
    <w:p>
      <w:pPr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ffffff" w:themeColor="background1" w:fill="ffffff" w:themeFill="background1"/>
      </w:pPr>
      <w:r/>
      <w:r/>
    </w:p>
    <w:sectPr>
      <w:headerReference w:type="default" r:id="rId11"/>
      <w:footnotePr/>
      <w:endnotePr/>
      <w:type w:val="nextPage"/>
      <w:pgSz w:w="16838" w:h="11906" w:orient="landscape"/>
      <w:pgMar w:top="709" w:right="850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fldSimple w:instr="PAGE \* MERGEFORMAT">
      <w:r>
        <w:t xml:space="preserve">1</w:t>
      </w:r>
    </w:fldSimple>
    <w:r/>
    <w:r/>
  </w:p>
  <w:p>
    <w:pPr>
      <w:pStyle w:val="847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fldSimple w:instr="PAGE \* MERGEFORMAT">
      <w:r>
        <w:t xml:space="preserve">1</w:t>
      </w:r>
    </w:fldSimple>
    <w:r/>
    <w:r/>
    <w:r/>
  </w:p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1"/>
    <w:link w:val="839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841"/>
    <w:link w:val="840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38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38"/>
    <w:next w:val="838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1"/>
    <w:link w:val="684"/>
    <w:uiPriority w:val="10"/>
    <w:rPr>
      <w:sz w:val="48"/>
      <w:szCs w:val="48"/>
    </w:rPr>
  </w:style>
  <w:style w:type="paragraph" w:styleId="686">
    <w:name w:val="Subtitle"/>
    <w:basedOn w:val="838"/>
    <w:next w:val="838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1"/>
    <w:link w:val="686"/>
    <w:uiPriority w:val="11"/>
    <w:rPr>
      <w:sz w:val="24"/>
      <w:szCs w:val="24"/>
    </w:rPr>
  </w:style>
  <w:style w:type="paragraph" w:styleId="688">
    <w:name w:val="Quote"/>
    <w:basedOn w:val="838"/>
    <w:next w:val="838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8"/>
    <w:next w:val="838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1"/>
    <w:link w:val="847"/>
    <w:uiPriority w:val="99"/>
  </w:style>
  <w:style w:type="character" w:styleId="693">
    <w:name w:val="Footer Char"/>
    <w:basedOn w:val="841"/>
    <w:link w:val="849"/>
    <w:uiPriority w:val="99"/>
  </w:style>
  <w:style w:type="paragraph" w:styleId="694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9"/>
    <w:uiPriority w:val="99"/>
  </w:style>
  <w:style w:type="table" w:styleId="696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1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1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839">
    <w:name w:val="Heading 1"/>
    <w:basedOn w:val="838"/>
    <w:next w:val="838"/>
    <w:link w:val="844"/>
    <w:uiPriority w:val="99"/>
    <w:qFormat/>
    <w:pPr>
      <w:jc w:val="center"/>
      <w:keepNext/>
      <w:outlineLvl w:val="0"/>
    </w:pPr>
    <w:rPr>
      <w:sz w:val="28"/>
      <w:szCs w:val="28"/>
    </w:rPr>
  </w:style>
  <w:style w:type="paragraph" w:styleId="840">
    <w:name w:val="Heading 2"/>
    <w:basedOn w:val="838"/>
    <w:next w:val="838"/>
    <w:link w:val="845"/>
    <w:uiPriority w:val="99"/>
    <w:qFormat/>
    <w:pPr>
      <w:jc w:val="center"/>
      <w:keepNext/>
      <w:outlineLvl w:val="1"/>
    </w:p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Заголовок 1 Знак"/>
    <w:basedOn w:val="841"/>
    <w:link w:val="839"/>
    <w:uiPriority w:val="99"/>
    <w:rPr>
      <w:rFonts w:ascii="Cambria" w:hAnsi="Cambria" w:cs="Cambria"/>
      <w:b/>
      <w:bCs/>
      <w:sz w:val="32"/>
      <w:szCs w:val="32"/>
    </w:rPr>
  </w:style>
  <w:style w:type="character" w:styleId="845" w:customStyle="1">
    <w:name w:val="Заголовок 2 Знак"/>
    <w:basedOn w:val="841"/>
    <w:link w:val="840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table" w:styleId="846">
    <w:name w:val="Table Grid"/>
    <w:basedOn w:val="842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Header"/>
    <w:basedOn w:val="838"/>
    <w:link w:val="848"/>
    <w:uiPriority w:val="99"/>
    <w:pPr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41"/>
    <w:link w:val="847"/>
    <w:uiPriority w:val="99"/>
    <w:rPr>
      <w:rFonts w:cs="Times New Roman"/>
      <w:sz w:val="24"/>
      <w:szCs w:val="24"/>
    </w:rPr>
  </w:style>
  <w:style w:type="paragraph" w:styleId="849">
    <w:name w:val="Footer"/>
    <w:basedOn w:val="838"/>
    <w:link w:val="850"/>
    <w:uiPriority w:val="99"/>
    <w:pPr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41"/>
    <w:link w:val="849"/>
    <w:uiPriority w:val="99"/>
    <w:rPr>
      <w:rFonts w:cs="Times New Roman"/>
      <w:sz w:val="24"/>
      <w:szCs w:val="24"/>
    </w:rPr>
  </w:style>
  <w:style w:type="paragraph" w:styleId="851">
    <w:name w:val="Balloon Text"/>
    <w:basedOn w:val="838"/>
    <w:link w:val="8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1"/>
    <w:link w:val="851"/>
    <w:uiPriority w:val="99"/>
    <w:semiHidden/>
    <w:rPr>
      <w:rFonts w:ascii="Segoe UI" w:hAnsi="Segoe UI" w:cs="Segoe UI"/>
      <w:sz w:val="18"/>
      <w:szCs w:val="18"/>
    </w:rPr>
  </w:style>
  <w:style w:type="character" w:styleId="853">
    <w:name w:val="Hyperlink"/>
    <w:basedOn w:val="841"/>
    <w:uiPriority w:val="99"/>
    <w:unhideWhenUsed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8F54-5965-48F4-9AB3-D841443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'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zdrav_221</dc:creator>
  <cp:revision>13</cp:revision>
  <dcterms:created xsi:type="dcterms:W3CDTF">2022-08-23T01:30:00Z</dcterms:created>
  <dcterms:modified xsi:type="dcterms:W3CDTF">2024-03-27T01:47:42Z</dcterms:modified>
</cp:coreProperties>
</file>